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71FD" w14:textId="2FEA3469" w:rsidR="00253628" w:rsidRPr="001C43E2" w:rsidRDefault="00253628" w:rsidP="00253628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36"/>
          <w:szCs w:val="36"/>
          <w:lang w:val="pl-PL" w:eastAsia="pl-PL"/>
        </w:rPr>
      </w:pPr>
      <w:r w:rsidRPr="001C43E2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pl-PL" w:eastAsia="pl-PL"/>
        </w:rPr>
        <w:t>Kryteria oceniania z edukacji zdrowotnej w klasie 6</w:t>
      </w:r>
    </w:p>
    <w:p w14:paraId="722CADAE" w14:textId="77777777" w:rsidR="00253628" w:rsidRPr="00253628" w:rsidRDefault="00253628" w:rsidP="00253628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</w:p>
    <w:p w14:paraId="370FE3F2" w14:textId="77777777" w:rsidR="00253628" w:rsidRPr="00253628" w:rsidRDefault="00253628" w:rsidP="00253628">
      <w:pPr>
        <w:suppressAutoHyphens w:val="0"/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w Szkole Podstawowej w Dobrzanach</w:t>
      </w:r>
    </w:p>
    <w:p w14:paraId="77A89EF1" w14:textId="77777777" w:rsidR="00253628" w:rsidRPr="00253628" w:rsidRDefault="00253628" w:rsidP="00253628">
      <w:pPr>
        <w:suppressAutoHyphens w:val="0"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 </w:t>
      </w:r>
    </w:p>
    <w:p w14:paraId="1AE67033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pl-PL" w:eastAsia="pl-PL"/>
        </w:rPr>
        <w:t>1. Sposób oceniania:</w:t>
      </w:r>
    </w:p>
    <w:p w14:paraId="156B16B1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a). Oceny cząstkowe wyrażane są cyfrowo w skali 1 do 6. </w:t>
      </w:r>
    </w:p>
    <w:p w14:paraId="485246B0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b). Ocena klasyfikacyjna wyrażana jest słownie wg skali: celujący, bardzo dobry, dobry, dostateczny, dopuszczający, niedostateczny.</w:t>
      </w:r>
    </w:p>
    <w:p w14:paraId="176EA53B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c). W przypadku wypowiedzi pisemnych przyjmuje się skalę punktową przeliczaną na oceny cyfrowe wg kryteriów: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100% -ocena celująca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99%- 90%- ocena bardzo dobra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89% -70% -ocena dobra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69% -51% -ocena dostateczna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50% -30% -ocena dopuszczająca</w:t>
      </w: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br/>
        <w:t>29 % -0% -ocena niedostateczna.</w:t>
      </w:r>
    </w:p>
    <w:p w14:paraId="0AC5935E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 xml:space="preserve">d). W przypadku odpowiedzi ustnych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ocena dokonywana jest w oparciu o wytyczne: </w:t>
      </w:r>
    </w:p>
    <w:p w14:paraId="58B322D6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celująca</w:t>
      </w:r>
    </w:p>
    <w:p w14:paraId="6B4C5397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odpowiedź bezbłędna, wykraczająca poza podstawę programową lub innowacyjna, kreatywna</w:t>
      </w:r>
    </w:p>
    <w:p w14:paraId="6A2FBE9D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bardzo dobra</w:t>
      </w:r>
    </w:p>
    <w:p w14:paraId="44B0897E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odpowiedź bezbłędna, samodzielna, wyczerpująca </w:t>
      </w:r>
    </w:p>
    <w:p w14:paraId="4397754C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dobra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247BCC3D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bezbłędna, samodzielna, niepełna </w:t>
      </w:r>
    </w:p>
    <w:p w14:paraId="3C56FBA7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dostateczna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7001180C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nie w pełni samodzielna, pojawiają się błędy merytoryczne </w:t>
      </w:r>
    </w:p>
    <w:p w14:paraId="75047127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dopuszczająca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4675DB7B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odpowiedź niesamodzielna, pomijająca istotne treści merytoryczne </w:t>
      </w:r>
    </w:p>
    <w:p w14:paraId="3271D055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- 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u w:val="single"/>
          <w:lang w:val="pl-PL"/>
          <w14:ligatures w14:val="standardContextual"/>
        </w:rPr>
        <w:t>ocena niedostateczna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</w:t>
      </w:r>
    </w:p>
    <w:p w14:paraId="53520DC4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odpowiedź niesamodzielna, poważne błędy merytoryczne lub brak odpowiedzi</w:t>
      </w:r>
    </w:p>
    <w:p w14:paraId="0DE6FD96" w14:textId="77777777" w:rsidR="00253628" w:rsidRPr="00253628" w:rsidRDefault="00253628" w:rsidP="00253628">
      <w:pPr>
        <w:suppressAutoHyphens w:val="0"/>
        <w:spacing w:after="0" w:line="240" w:lineRule="auto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e). Dopuszczalne jest stosowanie znaków + i – w ocenach cząstkowych.</w:t>
      </w:r>
    </w:p>
    <w:p w14:paraId="719B0DC0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Times New Roman" w:hAnsi="Times New Roman" w:cs="Times New Roman"/>
          <w:color w:val="auto"/>
          <w:sz w:val="24"/>
          <w:szCs w:val="24"/>
          <w:lang w:val="pl-PL" w:eastAsia="pl-PL"/>
        </w:rPr>
        <w:t>f). Brak zaliczenia prac pisemnych skutkuje obniżeniem oceny klasyfikacyjnej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(w przypadku usprawiedliwionej nieobecności ucznia, ma on obowiązek przystąpienia do sprawdzianu 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ucznia).</w:t>
      </w:r>
    </w:p>
    <w:p w14:paraId="646B69AC" w14:textId="2E346274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g). W przypadku otrzymania z</w:t>
      </w:r>
      <w:r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kartkówki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 xml:space="preserve"> oceny niedostatecznej lub oceny niezadowalającej ucznia, może on przystąpić do poprawy w ciągu 2 tygodni (w formie ponownego sprawdzianu pisemnego).</w:t>
      </w:r>
    </w:p>
    <w:p w14:paraId="07C1CD1F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h). Uczeń ma prawo do zgłoszenia przed lekcją, bez żadnych konsekwencji raz w ciągu semestru nieprzygotowania do lekcji (z wyjątkiem zaplanowanych sprawdzianów i lekcji powtórzeniowych).</w:t>
      </w:r>
    </w:p>
    <w:p w14:paraId="30E6C560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i).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202EC6AC" w14:textId="77777777" w:rsidR="00253628" w:rsidRPr="00253628" w:rsidRDefault="00253628" w:rsidP="00253628">
      <w:pPr>
        <w:keepNext/>
        <w:keepLines/>
        <w:spacing w:after="10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pl-PL"/>
        </w:rPr>
      </w:pPr>
    </w:p>
    <w:p w14:paraId="3D88834F" w14:textId="77777777" w:rsidR="00253628" w:rsidRPr="00253628" w:rsidRDefault="00253628" w:rsidP="00253628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9224AD6" w14:textId="77777777" w:rsidR="00253628" w:rsidRPr="00253628" w:rsidRDefault="00253628" w:rsidP="00253628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739DC51D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b/>
          <w:bCs/>
          <w:color w:val="auto"/>
          <w:kern w:val="2"/>
          <w:sz w:val="24"/>
          <w:szCs w:val="24"/>
          <w:lang w:val="pl-PL"/>
          <w14:ligatures w14:val="standardContextual"/>
        </w:rPr>
        <w:t>2. Formy aktywności ucznia podlegające ocenie:</w:t>
      </w:r>
    </w:p>
    <w:p w14:paraId="069FCD6B" w14:textId="014008D2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lastRenderedPageBreak/>
        <w:t>-kartkówki/</w:t>
      </w:r>
      <w:r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q</w:t>
      </w: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uizy obejmujące materiał z jednej lekcji (nie muszą być wcześniej zapowiedziane, ale mogą),</w:t>
      </w:r>
    </w:p>
    <w:p w14:paraId="3B983A4B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 karty pracy (bieżąca praca na zajęciach) – studium przypadku, zadanie praktyczne/symulacja zdarzenia,</w:t>
      </w:r>
    </w:p>
    <w:p w14:paraId="5A012078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dobrą, gdy zgromadzi trzy plusy, w przypadku bardzo dużego wkładu pracy przy wykonywaniu ćwiczenia – jednostkową ocenę bardzo dobrą,</w:t>
      </w:r>
    </w:p>
    <w:p w14:paraId="78477189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-odpowiedzi ustne - np.: wypowiedź na określony temat, umiejętność wnioskowania przyczynowo -skutkowego itp. (obejmuje zakresem treści trzech ostatnich jednostek tematycznych),</w:t>
      </w:r>
    </w:p>
    <w:p w14:paraId="67DB7BB8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-prace dodatkowe (inne formy) -np. projekt, doświadczenie edukacyjne,</w:t>
      </w:r>
    </w:p>
    <w:p w14:paraId="6A2631DC" w14:textId="77777777" w:rsidR="00253628" w:rsidRPr="00253628" w:rsidRDefault="00253628" w:rsidP="00253628">
      <w:pPr>
        <w:suppressAutoHyphens w:val="0"/>
        <w:spacing w:line="278" w:lineRule="auto"/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</w:pPr>
      <w:r w:rsidRPr="00253628">
        <w:rPr>
          <w:rFonts w:ascii="Times New Roman" w:eastAsia="Aptos" w:hAnsi="Times New Roman" w:cs="Times New Roman"/>
          <w:color w:val="auto"/>
          <w:kern w:val="2"/>
          <w:sz w:val="24"/>
          <w:szCs w:val="24"/>
          <w:lang w:val="pl-PL"/>
          <w14:ligatures w14:val="standardContextual"/>
        </w:rPr>
        <w:t>- zeszyt przedmiotowy (sprawdzany minimalnie raz w roku) - uczeń ma obowiązek prowadzić zeszyt przedmiotowy w dowolnym formacie. W zeszycie muszą być notatki sporządzone podczas zajęć i uzupełnione wszystkie materiały przekazane przez nauczyciela. W zeszycie przedmiotowym wszystkie rysunki wykonujemy ołówkiem (kredką).</w:t>
      </w:r>
    </w:p>
    <w:p w14:paraId="04063A0A" w14:textId="77777777" w:rsidR="00253628" w:rsidRPr="00253628" w:rsidRDefault="00253628" w:rsidP="00253628">
      <w:pPr>
        <w:keepNext/>
        <w:keepLines/>
        <w:spacing w:after="10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pl-PL"/>
        </w:rPr>
      </w:pPr>
    </w:p>
    <w:p w14:paraId="77C930FA" w14:textId="41C8935B" w:rsidR="00253628" w:rsidRPr="00253628" w:rsidRDefault="00253628" w:rsidP="00253628">
      <w:pPr>
        <w:spacing w:after="30"/>
        <w:contextualSpacing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3. Wymagania na poszczególne oceny </w:t>
      </w:r>
    </w:p>
    <w:p w14:paraId="15277653" w14:textId="77777777" w:rsidR="00253628" w:rsidRPr="00253628" w:rsidRDefault="00253628" w:rsidP="00253628">
      <w:pPr>
        <w:spacing w:after="30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ubiegający się o wyższą ocenę spełnia również wymagania poziomów niższych.</w:t>
      </w:r>
    </w:p>
    <w:p w14:paraId="26E1511F" w14:textId="77777777" w:rsidR="00253628" w:rsidRPr="00253628" w:rsidRDefault="00253628" w:rsidP="00253628">
      <w:pPr>
        <w:spacing w:after="30"/>
        <w:contextualSpacing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2AE765E" w14:textId="60436C43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Ocena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3628" w:rsidRPr="00253628">
        <w:rPr>
          <w:rFonts w:ascii="Times New Roman" w:hAnsi="Times New Roman" w:cs="Times New Roman"/>
          <w:szCs w:val="24"/>
        </w:rPr>
        <w:t>celując</w:t>
      </w:r>
      <w:r>
        <w:rPr>
          <w:rFonts w:ascii="Times New Roman" w:hAnsi="Times New Roman" w:cs="Times New Roman"/>
          <w:szCs w:val="24"/>
        </w:rPr>
        <w:t>a</w:t>
      </w:r>
      <w:proofErr w:type="spellEnd"/>
    </w:p>
    <w:p w14:paraId="09FFD00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samodzielnie integruje wymagania z kilku działów i projektuje rozwiązanie odpowiadające złożonemu problemowi zdrowotnemu;</w:t>
      </w:r>
    </w:p>
    <w:p w14:paraId="35DBD117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krytycznie ocenia informacje, dane i przekazy, wskazuje ograniczenia dowodów oraz uzasadnia wybór wiarygodnych źródeł;</w:t>
      </w:r>
    </w:p>
    <w:p w14:paraId="4CF13C91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przewiduje krótko- i długoterminowe skutki decyzji dla zdrowia własnego, innych osób i środowiska;</w:t>
      </w:r>
    </w:p>
    <w:p w14:paraId="5DAD5F0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ocenia skuteczność wykonanego działania, korzysta z informacji zwrotnej i proponuje trafne modyfikacje.</w:t>
      </w:r>
    </w:p>
    <w:p w14:paraId="5F22FC36" w14:textId="68E0F50A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Ocena</w:t>
      </w:r>
      <w:proofErr w:type="spellEnd"/>
      <w:r w:rsidR="00253628"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3628" w:rsidRPr="00253628">
        <w:rPr>
          <w:rFonts w:ascii="Times New Roman" w:hAnsi="Times New Roman" w:cs="Times New Roman"/>
          <w:szCs w:val="24"/>
        </w:rPr>
        <w:t>bardzo</w:t>
      </w:r>
      <w:proofErr w:type="spellEnd"/>
      <w:r w:rsidR="00253628" w:rsidRPr="00253628">
        <w:rPr>
          <w:rFonts w:ascii="Times New Roman" w:hAnsi="Times New Roman" w:cs="Times New Roman"/>
          <w:szCs w:val="24"/>
        </w:rPr>
        <w:t xml:space="preserve"> dobr</w:t>
      </w:r>
      <w:r>
        <w:rPr>
          <w:rFonts w:ascii="Times New Roman" w:hAnsi="Times New Roman" w:cs="Times New Roman"/>
          <w:szCs w:val="24"/>
        </w:rPr>
        <w:t>a</w:t>
      </w:r>
    </w:p>
    <w:p w14:paraId="5C3282B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bardzo dobrze opanował wymagania klasy VI i samodzielnie stosuje je w nowych, złożonych sytuacjach;</w:t>
      </w:r>
    </w:p>
    <w:p w14:paraId="18CCFA20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trafnie dobiera procedury pomocy, profilaktyki, komunikacji i ochrony granic oraz wyczerpująco uzasadnia wybór;</w:t>
      </w:r>
    </w:p>
    <w:p w14:paraId="0AA4631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samodzielnie porównuje źródła, interpretuje dane i rozpoznaje dezinformację;</w:t>
      </w:r>
    </w:p>
    <w:p w14:paraId="5F7A051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łączy wiedzę o zdrowiu fizycznym, psychicznym, społecznym, cyfrowym i środowiskowym w spójne wnioski.</w:t>
      </w:r>
    </w:p>
    <w:p w14:paraId="6721B20C" w14:textId="2DFCA997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Ocena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253628" w:rsidRPr="00253628">
        <w:rPr>
          <w:rFonts w:ascii="Times New Roman" w:hAnsi="Times New Roman" w:cs="Times New Roman"/>
          <w:szCs w:val="24"/>
        </w:rPr>
        <w:t>dobr</w:t>
      </w:r>
      <w:r>
        <w:rPr>
          <w:rFonts w:ascii="Times New Roman" w:hAnsi="Times New Roman" w:cs="Times New Roman"/>
          <w:szCs w:val="24"/>
        </w:rPr>
        <w:t>a</w:t>
      </w:r>
    </w:p>
    <w:p w14:paraId="12B851C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opanował większość wymagań klasy VI i samodzielnie stosuje wiedzę w typowych sytuacjach;</w:t>
      </w:r>
    </w:p>
    <w:p w14:paraId="4425E37C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poprawnie dobiera procedurę wezwania pomocy, pierwszej pomocy emocjonalnej lub reakcji na zagrożenie;</w:t>
      </w:r>
    </w:p>
    <w:p w14:paraId="7C94DB9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analizuje prosty materiał źródłowy i uzasadnia decyzję zdrowotną;</w:t>
      </w:r>
    </w:p>
    <w:p w14:paraId="75BA38DA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wykonuje zadanie praktyczne, projekt lub doświadczenie zgodnie z ustalonym planem.</w:t>
      </w:r>
    </w:p>
    <w:p w14:paraId="0423F82A" w14:textId="2C72E6D0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lastRenderedPageBreak/>
        <w:t>Ocena</w:t>
      </w:r>
      <w:proofErr w:type="spellEnd"/>
      <w:r w:rsidR="00253628"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3628" w:rsidRPr="00253628">
        <w:rPr>
          <w:rFonts w:ascii="Times New Roman" w:hAnsi="Times New Roman" w:cs="Times New Roman"/>
          <w:szCs w:val="24"/>
        </w:rPr>
        <w:t>dostateczn</w:t>
      </w:r>
      <w:r>
        <w:rPr>
          <w:rFonts w:ascii="Times New Roman" w:hAnsi="Times New Roman" w:cs="Times New Roman"/>
          <w:szCs w:val="24"/>
        </w:rPr>
        <w:t>a</w:t>
      </w:r>
      <w:proofErr w:type="spellEnd"/>
    </w:p>
    <w:p w14:paraId="72F4053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podstawowe zależności między stylem życia, profilaktyką, dobrostanem psychicznym, relacjami i środowiskiem;</w:t>
      </w:r>
    </w:p>
    <w:p w14:paraId="16785A3C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rozpoznaje typową sytuację wymagającą pomocy i wskazuje właściwą reakcję;</w:t>
      </w:r>
    </w:p>
    <w:p w14:paraId="222A6812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wykonuje zadanie według instrukcji i formułuje prosty wniosek;</w:t>
      </w:r>
    </w:p>
    <w:p w14:paraId="4FE73DD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korzysta ze wskazanego, wiarygodnego źródła i odczytuje z niego najważniejsze informacje.</w:t>
      </w:r>
    </w:p>
    <w:p w14:paraId="753BA5D6" w14:textId="02BA3A84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Ocena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3628" w:rsidRPr="00253628">
        <w:rPr>
          <w:rFonts w:ascii="Times New Roman" w:hAnsi="Times New Roman" w:cs="Times New Roman"/>
          <w:szCs w:val="24"/>
        </w:rPr>
        <w:t>dopuszczając</w:t>
      </w:r>
      <w:r>
        <w:rPr>
          <w:rFonts w:ascii="Times New Roman" w:hAnsi="Times New Roman" w:cs="Times New Roman"/>
          <w:szCs w:val="24"/>
        </w:rPr>
        <w:t>a</w:t>
      </w:r>
      <w:proofErr w:type="spellEnd"/>
    </w:p>
    <w:p w14:paraId="0C55E8F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z pomocą rozpoznaje podstawowe zasady dbania o zdrowie i bezpieczeństwo;</w:t>
      </w:r>
    </w:p>
    <w:p w14:paraId="56D65C7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wykonuje prosty krok procedury wezwania pomocy, odmowy lub zgłoszenia zagrożenia;</w:t>
      </w:r>
    </w:p>
    <w:p w14:paraId="78A5FED2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wskazuje zaufaną osobę dorosłą lub właściwe miejsce pomocy;</w:t>
      </w:r>
    </w:p>
    <w:p w14:paraId="132DA3F8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wykonuje najprostszy element zadania przy wyraźnej, etapowej instrukcji.</w:t>
      </w:r>
    </w:p>
    <w:p w14:paraId="58F8274D" w14:textId="5738F429" w:rsidR="00253628" w:rsidRPr="00253628" w:rsidRDefault="0047484C" w:rsidP="00253628">
      <w:pPr>
        <w:pStyle w:val="Nagwek2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Ocena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53628" w:rsidRPr="00253628">
        <w:rPr>
          <w:rFonts w:ascii="Times New Roman" w:hAnsi="Times New Roman" w:cs="Times New Roman"/>
          <w:szCs w:val="24"/>
        </w:rPr>
        <w:t>niedostateczn</w:t>
      </w:r>
      <w:r>
        <w:rPr>
          <w:rFonts w:ascii="Times New Roman" w:hAnsi="Times New Roman" w:cs="Times New Roman"/>
          <w:szCs w:val="24"/>
        </w:rPr>
        <w:t>a</w:t>
      </w:r>
      <w:proofErr w:type="spellEnd"/>
    </w:p>
    <w:p w14:paraId="3E698C20" w14:textId="2682AEE5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nie osiąga poziomu koniecznego opisanego dla oceny dopuszczającej mimo zapewnienia wsparcia, możliwości uzupełnienia braków i dostosowania wymagań. Oceny niedostatecznej nie można uzasadniać stanem zdrowia, poglądami, odmową osobistych zwierzeń ani nieuczestniczeniem w zajęciach „edukacja zdrowotna – zdrowie seksualne”.</w:t>
      </w:r>
    </w:p>
    <w:p w14:paraId="723185BB" w14:textId="77777777" w:rsidR="00253628" w:rsidRPr="00253628" w:rsidRDefault="00253628" w:rsidP="00253628">
      <w:pPr>
        <w:keepNext/>
        <w:keepLines/>
        <w:spacing w:after="100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pl-PL"/>
        </w:rPr>
      </w:pPr>
    </w:p>
    <w:p w14:paraId="6F97463B" w14:textId="6FFCAED5" w:rsidR="00253628" w:rsidRPr="00253628" w:rsidRDefault="00253628" w:rsidP="00253628">
      <w:pPr>
        <w:pStyle w:val="Nagwek1"/>
        <w:spacing w:before="0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4. Szczegółowe wymagania edukacyjne – klasa VI</w:t>
      </w:r>
    </w:p>
    <w:p w14:paraId="66D02FB7" w14:textId="6651CBBA" w:rsidR="00253628" w:rsidRPr="0047484C" w:rsidRDefault="00253628" w:rsidP="00253628">
      <w:pPr>
        <w:pStyle w:val="Nagwek2"/>
        <w:rPr>
          <w:rFonts w:ascii="Times New Roman" w:hAnsi="Times New Roman" w:cs="Times New Roman"/>
          <w:szCs w:val="24"/>
          <w:lang w:val="pl-PL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Wartości i postawy</w:t>
      </w:r>
    </w:p>
    <w:p w14:paraId="5BC36EAC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zdrowie jako wartość i zasób indywidualny, społeczny i środowiskowy na różnych etapach życia;</w:t>
      </w:r>
    </w:p>
    <w:p w14:paraId="7379AB9A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ocenia skutki decyzji dla zdrowia własnego, innych osób, środowiska i przyszłych pokoleń;</w:t>
      </w:r>
    </w:p>
    <w:p w14:paraId="1DB91B1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formułuje argumenty oparte na szacunku, empatii, odpowiedzialności i godności człowieka;</w:t>
      </w:r>
    </w:p>
    <w:p w14:paraId="6151542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proponuje realistyczne działania wzmacniające poczucie własnej wartości, optymizm i odpowiedzialność za zdrowie.</w:t>
      </w:r>
    </w:p>
    <w:p w14:paraId="0815BC8D" w14:textId="36211B87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Zdrowie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fizyczne</w:t>
      </w:r>
      <w:proofErr w:type="spellEnd"/>
    </w:p>
    <w:p w14:paraId="44EF2E0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łączy higienę, zdrowie jamy ustnej, profilaktykę, szczepienia, obserwację objawów i korzystanie z opieki zdrowotnej w spójny plan dbania o zdrowie;</w:t>
      </w:r>
    </w:p>
    <w:p w14:paraId="26C5EDA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odróżnia sytuację możliwą do obserwacji od sytuacji wymagającej konsultacji lub pilnego wezwania pomocy;</w:t>
      </w:r>
    </w:p>
    <w:p w14:paraId="123C00F5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algorytm wezwania pomocy i zasady pierwszej pomocy w fikcyjnych lub symulowanych stanach nagłego zagrożenia zdrowotnego;</w:t>
      </w:r>
    </w:p>
    <w:p w14:paraId="22FD7B31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przygotowuje się do wizyty lekarskiej lub stomatologicznej i formułuje informacje potrzebne personelowi medycznemu;</w:t>
      </w:r>
    </w:p>
    <w:p w14:paraId="716BC583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weryfikuje popularną poradę zdrowotną na podstawie autorstwa, dowodów, aktualności i zgodności z wiarygodnymi źródłami.</w:t>
      </w:r>
    </w:p>
    <w:p w14:paraId="4E853411" w14:textId="744EEFD3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Aktywność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fizyczna</w:t>
      </w:r>
      <w:proofErr w:type="spellEnd"/>
    </w:p>
    <w:p w14:paraId="672B4538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planuje realistyczny tydzień aktywności, aktywnych przerw, odpoczynku i snu, uwzględniając zasady bezpieczeństwa;</w:t>
      </w:r>
    </w:p>
    <w:p w14:paraId="020B5568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monitoruje realizację planu w sposób chroniący prywatność i wyciąga wnioski dotyczące barier oraz możliwych zmian;</w:t>
      </w:r>
    </w:p>
    <w:p w14:paraId="07D8250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dobiera ćwiczenia oddechowe, relaksacyjne, wzroku i postawy do określonej potrzeby;</w:t>
      </w:r>
    </w:p>
    <w:p w14:paraId="0A10C0B5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znaczenie aktywności dla zdrowia fizycznego i psychicznego, profilaktyki nadwagi i otyłości oraz ograniczania stresu;</w:t>
      </w:r>
    </w:p>
    <w:p w14:paraId="3FBD9757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lastRenderedPageBreak/>
        <w:t>Uczeń przygotowuje komunikat promujący bezpieczną aktywność w grupie rówieśniczej, rodzinie lub społeczności lokalnej.</w:t>
      </w:r>
    </w:p>
    <w:p w14:paraId="6763CD02" w14:textId="006F50E6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Odżywianie</w:t>
      </w:r>
      <w:proofErr w:type="spellEnd"/>
    </w:p>
    <w:p w14:paraId="7ABCA7F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planuje prosty zbilansowany posiłek zgodny z talerzem zdrowego żywienia i uzasadnia dobór produktów oraz wielkość porcji;</w:t>
      </w:r>
    </w:p>
    <w:p w14:paraId="328440DD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łączy informacje z etykiety, potrzeby żywieniowe, alergeny, nawodnienie i bezpieczeństwo żywności;</w:t>
      </w:r>
    </w:p>
    <w:p w14:paraId="16B936A1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korzysta z wiarygodnego źródła lub aplikacji, odróżniając informację opartą na dowodach od reklamy i uproszczenia;</w:t>
      </w:r>
    </w:p>
    <w:p w14:paraId="5A7177E2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planuje przechowywanie i wykorzystanie produktów w sposób ograniczający ich marnowanie;</w:t>
      </w:r>
    </w:p>
    <w:p w14:paraId="4E10F82F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proponuje wykorzystanie roślin jadalnych i produktów roślinnych w prostym zdrowym posiłku.</w:t>
      </w:r>
    </w:p>
    <w:p w14:paraId="7C0E102B" w14:textId="326A03AC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Zdrowie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psychiczne</w:t>
      </w:r>
      <w:proofErr w:type="spellEnd"/>
    </w:p>
    <w:p w14:paraId="428F2D71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zasady pierwszej pomocy emocjonalnej i rozpoznaje granice pomocy rówieśniczej;</w:t>
      </w:r>
    </w:p>
    <w:p w14:paraId="09CF3094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omawia zachowania autoagresywne bez epatowania szczegółami, wskazuje ich konsekwencje i konieczność pomocy osoby dorosłej;</w:t>
      </w:r>
    </w:p>
    <w:p w14:paraId="6C87602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dobiera miejsce pomocy psychologicznej, psychoterapeutycznej lub psychiatrycznej do opisu sytuacji, w tym telefon zaufania;</w:t>
      </w:r>
    </w:p>
    <w:p w14:paraId="20808F7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potrzeby osób z autyzmem, ADHD, rozwojowymi zaburzeniami uczenia się, niepełnosprawnością intelektualną lub fizyczną i proponuje wspierające zachowanie;</w:t>
      </w:r>
    </w:p>
    <w:p w14:paraId="7F0C6CD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zasady bezpiecznego reagowania podczas napadu padaczkowego;</w:t>
      </w:r>
    </w:p>
    <w:p w14:paraId="1AB97A0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zasady komunikacji werbalnej i niewerbalnej oraz asertywności w złożonym studium przypadku.</w:t>
      </w:r>
    </w:p>
    <w:p w14:paraId="588B68A2" w14:textId="4AC1F7E9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Zdrowie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społeczne</w:t>
      </w:r>
      <w:proofErr w:type="spellEnd"/>
    </w:p>
    <w:p w14:paraId="773A05FC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analizuje czynniki wpływające na atmosferę i więzi w rodzinie oraz wskazuje własny, adekwatny zakres odpowiedzialności;</w:t>
      </w:r>
    </w:p>
    <w:p w14:paraId="08048D6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proponuje wspierające reakcje na separację, rozwód, nowy związek rodzica, adopcję, rodzicielstwo zastępcze, pojawienie się rodzeństwa, chorobę, stratę lub kryzys w rodzinie;</w:t>
      </w:r>
    </w:p>
    <w:p w14:paraId="31B1A82C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rozpoznaje niewłaściwe zachowania w koleżeństwie, przyjaźni, zauroczeniu, zakochaniu i miłości;</w:t>
      </w:r>
    </w:p>
    <w:p w14:paraId="078D6E37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komunikację asertywną, respektuje granice własne i innych oraz dobiera bezpieczne działanie przy ich naruszeniu;</w:t>
      </w:r>
    </w:p>
    <w:p w14:paraId="57C9D95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zna podstawowe zasady ochrony prawnej dzieci i młodzieży oraz wskazuje właściwą ścieżkę pomocy.</w:t>
      </w:r>
    </w:p>
    <w:p w14:paraId="75A4DD7C" w14:textId="40AD8FED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Dojrzewanie</w:t>
      </w:r>
      <w:proofErr w:type="spellEnd"/>
    </w:p>
    <w:p w14:paraId="50D1E54B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syntetyzuje fizyczne, psychiczne, emocjonalne i społeczne przemiany dojrzewania oraz wyjaśnia ich wzajemne powiązania;</w:t>
      </w:r>
    </w:p>
    <w:p w14:paraId="1F5642D8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odróżnia dojrzewanie fizyczne od dojrzałości psychicznej i wyjaśnia wpływ zmian mózgowych na zachowanie;</w:t>
      </w:r>
    </w:p>
    <w:p w14:paraId="4B4F0EB7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identyfikuje zmiany mieszczące się w normie medycznej oraz sygnały wymagające konsultacji z osobą dorosłą lub specjalistą;</w:t>
      </w:r>
    </w:p>
    <w:p w14:paraId="32F46FCD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zasady higieny związanej z dojrzewaniem i rzeczowo omawia produkty menstruacyjne;</w:t>
      </w:r>
    </w:p>
    <w:p w14:paraId="6671E5D6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etapy cyklu miesiączkowego, jego możliwy wpływ na funkcjonowanie i samopoczucie oraz wskazuje zaburzenia wymagające konsultacji.</w:t>
      </w:r>
    </w:p>
    <w:p w14:paraId="3A8B1ED4" w14:textId="463D8F4A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lastRenderedPageBreak/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Zdrowie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środowiskowe</w:t>
      </w:r>
      <w:proofErr w:type="spellEnd"/>
    </w:p>
    <w:p w14:paraId="062A8DED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analizuje zależności między jakością powietrza i wody, hałasem, dostępem do terenów zielonych, zmianą klimatu a zdrowiem;</w:t>
      </w:r>
    </w:p>
    <w:p w14:paraId="29936795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korzysta z wiarygodnych narzędzi do sprawdzania jakości powietrza i natężenia hałasu oraz interpretuje podstawowe dane;</w:t>
      </w:r>
    </w:p>
    <w:p w14:paraId="16F9989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wyjaśnia znaczenie kontaktu z naturą, odpowiedzialności za zwierzęta oraz ochrony ekosystemów;</w:t>
      </w:r>
    </w:p>
    <w:p w14:paraId="005FD46B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projektuje i realizuje proste działanie proekologiczne, a następnie ocenia jego możliwy wpływ na zdrowie i środowisko.</w:t>
      </w:r>
    </w:p>
    <w:p w14:paraId="7764AE23" w14:textId="4A9C7F4B" w:rsidR="00253628" w:rsidRPr="00253628" w:rsidRDefault="00253628" w:rsidP="00253628">
      <w:pPr>
        <w:pStyle w:val="Nagwek2"/>
        <w:rPr>
          <w:rFonts w:ascii="Times New Roman" w:hAnsi="Times New Roman" w:cs="Times New Roman"/>
          <w:szCs w:val="24"/>
        </w:rPr>
      </w:pPr>
      <w:r w:rsidRPr="0047484C">
        <w:rPr>
          <w:rFonts w:ascii="Times New Roman" w:hAnsi="Times New Roman" w:cs="Times New Roman"/>
          <w:szCs w:val="24"/>
          <w:lang w:val="pl-PL"/>
        </w:rPr>
        <w:t xml:space="preserve"> </w:t>
      </w:r>
      <w:r w:rsidRPr="00253628">
        <w:rPr>
          <w:rFonts w:ascii="Times New Roman" w:hAnsi="Times New Roman" w:cs="Times New Roman"/>
          <w:szCs w:val="24"/>
        </w:rPr>
        <w:t xml:space="preserve">Internet </w:t>
      </w:r>
      <w:proofErr w:type="spellStart"/>
      <w:r w:rsidRPr="00253628">
        <w:rPr>
          <w:rFonts w:ascii="Times New Roman" w:hAnsi="Times New Roman" w:cs="Times New Roman"/>
          <w:szCs w:val="24"/>
        </w:rPr>
        <w:t>i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profilaktyka</w:t>
      </w:r>
      <w:proofErr w:type="spellEnd"/>
      <w:r w:rsidRPr="0025362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628">
        <w:rPr>
          <w:rFonts w:ascii="Times New Roman" w:hAnsi="Times New Roman" w:cs="Times New Roman"/>
          <w:szCs w:val="24"/>
        </w:rPr>
        <w:t>uzależnień</w:t>
      </w:r>
      <w:proofErr w:type="spellEnd"/>
    </w:p>
    <w:p w14:paraId="6C79676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analizuje własne lub fikcyjne nawyki cyfrowe z uwzględnieniem snu, postawy, wzroku, relacji i czasu ekranowego, bez obowiązku ujawniania prywatnych danych;</w:t>
      </w:r>
    </w:p>
    <w:p w14:paraId="0881D2C9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 xml:space="preserve">Uczeń tworzy procedurę reagowania na cyberprzemoc, hejt, </w:t>
      </w:r>
      <w:proofErr w:type="spellStart"/>
      <w:r w:rsidRPr="00253628">
        <w:rPr>
          <w:rFonts w:ascii="Times New Roman" w:hAnsi="Times New Roman" w:cs="Times New Roman"/>
          <w:sz w:val="24"/>
          <w:szCs w:val="24"/>
          <w:lang w:val="pl-PL"/>
        </w:rPr>
        <w:t>patostreaming</w:t>
      </w:r>
      <w:proofErr w:type="spellEnd"/>
      <w:r w:rsidRPr="00253628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proofErr w:type="spellStart"/>
      <w:r w:rsidRPr="00253628">
        <w:rPr>
          <w:rFonts w:ascii="Times New Roman" w:hAnsi="Times New Roman" w:cs="Times New Roman"/>
          <w:sz w:val="24"/>
          <w:szCs w:val="24"/>
          <w:lang w:val="pl-PL"/>
        </w:rPr>
        <w:t>phishing</w:t>
      </w:r>
      <w:proofErr w:type="spellEnd"/>
      <w:r w:rsidRPr="00253628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proofErr w:type="spellStart"/>
      <w:r w:rsidRPr="00253628">
        <w:rPr>
          <w:rFonts w:ascii="Times New Roman" w:hAnsi="Times New Roman" w:cs="Times New Roman"/>
          <w:sz w:val="24"/>
          <w:szCs w:val="24"/>
          <w:lang w:val="pl-PL"/>
        </w:rPr>
        <w:t>deepfake</w:t>
      </w:r>
      <w:proofErr w:type="spellEnd"/>
      <w:r w:rsidRPr="00253628">
        <w:rPr>
          <w:rFonts w:ascii="Times New Roman" w:hAnsi="Times New Roman" w:cs="Times New Roman"/>
          <w:sz w:val="24"/>
          <w:szCs w:val="24"/>
          <w:lang w:val="pl-PL"/>
        </w:rPr>
        <w:t>, kradzież tożsamości, uwodzenie lub szantaż w sieci;</w:t>
      </w:r>
    </w:p>
    <w:p w14:paraId="77802B2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omawia zagrożenia związane z alkoholem, wyrobami tytoniowymi i napojami energetyzującymi oraz sposoby uzyskania pomocy specjalistycznej;</w:t>
      </w:r>
    </w:p>
    <w:p w14:paraId="0B056C77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stosuje asertywną odmowę i formułuje argumenty dotyczące korzyści wynikających z niezażywania substancji psychoaktywnych;</w:t>
      </w:r>
    </w:p>
    <w:p w14:paraId="6A1EC24E" w14:textId="77777777" w:rsidR="00253628" w:rsidRPr="00253628" w:rsidRDefault="00253628" w:rsidP="00253628">
      <w:pPr>
        <w:pStyle w:val="Listapunktowana"/>
        <w:rPr>
          <w:rFonts w:ascii="Times New Roman" w:hAnsi="Times New Roman" w:cs="Times New Roman"/>
          <w:sz w:val="24"/>
          <w:szCs w:val="24"/>
          <w:lang w:val="pl-PL"/>
        </w:rPr>
      </w:pPr>
      <w:r w:rsidRPr="00253628">
        <w:rPr>
          <w:rFonts w:ascii="Times New Roman" w:hAnsi="Times New Roman" w:cs="Times New Roman"/>
          <w:sz w:val="24"/>
          <w:szCs w:val="24"/>
          <w:lang w:val="pl-PL"/>
        </w:rPr>
        <w:t>Uczeń ocenia korzyści i zagrożenia związane ze sztuczną inteligencją i wirtualną rzeczywistością na podstawie wiarygodnych źródeł.</w:t>
      </w:r>
    </w:p>
    <w:p w14:paraId="39112991" w14:textId="77777777" w:rsidR="00253628" w:rsidRPr="00253628" w:rsidRDefault="00253628" w:rsidP="00253628">
      <w:pPr>
        <w:pStyle w:val="Listapunktowana"/>
        <w:numPr>
          <w:ilvl w:val="0"/>
          <w:numId w:val="0"/>
        </w:numPr>
        <w:rPr>
          <w:b/>
          <w:bCs/>
          <w:sz w:val="22"/>
          <w:lang w:val="pl-PL"/>
        </w:rPr>
      </w:pPr>
    </w:p>
    <w:p w14:paraId="1163D042" w14:textId="77777777" w:rsidR="00253628" w:rsidRPr="00253628" w:rsidRDefault="00253628" w:rsidP="002536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27EF8B70" w14:textId="64F17A44" w:rsidR="00E26C1B" w:rsidRPr="0047484C" w:rsidRDefault="00E26C1B">
      <w:pPr>
        <w:spacing w:after="0"/>
        <w:jc w:val="center"/>
        <w:rPr>
          <w:lang w:val="pl-PL"/>
        </w:rPr>
      </w:pPr>
    </w:p>
    <w:sectPr w:rsidR="00E26C1B" w:rsidRPr="004748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5" w:right="964" w:bottom="935" w:left="964" w:header="425" w:footer="42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4A757" w14:textId="77777777" w:rsidR="0082681C" w:rsidRDefault="0082681C">
      <w:pPr>
        <w:spacing w:after="0" w:line="240" w:lineRule="auto"/>
      </w:pPr>
      <w:r>
        <w:separator/>
      </w:r>
    </w:p>
  </w:endnote>
  <w:endnote w:type="continuationSeparator" w:id="0">
    <w:p w14:paraId="5E81AAB8" w14:textId="77777777" w:rsidR="0082681C" w:rsidRDefault="0082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3" w14:textId="77777777" w:rsidR="00E26C1B" w:rsidRDefault="00E26C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4" w14:textId="77777777" w:rsidR="00E26C1B" w:rsidRDefault="00E26C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6" w14:textId="77777777" w:rsidR="00E26C1B" w:rsidRDefault="00E26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79BE" w14:textId="77777777" w:rsidR="0082681C" w:rsidRDefault="0082681C">
      <w:pPr>
        <w:spacing w:after="0" w:line="240" w:lineRule="auto"/>
      </w:pPr>
      <w:r>
        <w:separator/>
      </w:r>
    </w:p>
  </w:footnote>
  <w:footnote w:type="continuationSeparator" w:id="0">
    <w:p w14:paraId="1F77546C" w14:textId="77777777" w:rsidR="0082681C" w:rsidRDefault="0082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1" w14:textId="77777777" w:rsidR="00E26C1B" w:rsidRDefault="00E26C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2" w14:textId="77777777" w:rsidR="00E26C1B" w:rsidRDefault="00E26C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8B75" w14:textId="77777777" w:rsidR="00E26C1B" w:rsidRDefault="00E26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9C8"/>
    <w:multiLevelType w:val="multilevel"/>
    <w:tmpl w:val="7AD80E5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6362E"/>
    <w:multiLevelType w:val="multilevel"/>
    <w:tmpl w:val="6F4C27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244869"/>
    <w:multiLevelType w:val="multilevel"/>
    <w:tmpl w:val="432072D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9779F0"/>
    <w:multiLevelType w:val="multilevel"/>
    <w:tmpl w:val="ED36AF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1C135A"/>
    <w:multiLevelType w:val="multilevel"/>
    <w:tmpl w:val="1B4EFDE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E6D1DB8"/>
    <w:multiLevelType w:val="multilevel"/>
    <w:tmpl w:val="9CB2C674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254294"/>
    <w:multiLevelType w:val="multilevel"/>
    <w:tmpl w:val="E7F4F8A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67497090">
    <w:abstractNumId w:val="3"/>
  </w:num>
  <w:num w:numId="2" w16cid:durableId="1565291360">
    <w:abstractNumId w:val="2"/>
  </w:num>
  <w:num w:numId="3" w16cid:durableId="1411469116">
    <w:abstractNumId w:val="0"/>
  </w:num>
  <w:num w:numId="4" w16cid:durableId="610354098">
    <w:abstractNumId w:val="4"/>
  </w:num>
  <w:num w:numId="5" w16cid:durableId="1671256597">
    <w:abstractNumId w:val="6"/>
  </w:num>
  <w:num w:numId="6" w16cid:durableId="843518728">
    <w:abstractNumId w:val="5"/>
  </w:num>
  <w:num w:numId="7" w16cid:durableId="1204824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1B"/>
    <w:rsid w:val="001262B8"/>
    <w:rsid w:val="001C43E2"/>
    <w:rsid w:val="00253628"/>
    <w:rsid w:val="002963E6"/>
    <w:rsid w:val="00323C45"/>
    <w:rsid w:val="0047484C"/>
    <w:rsid w:val="00765DA8"/>
    <w:rsid w:val="007E7864"/>
    <w:rsid w:val="0082681C"/>
    <w:rsid w:val="008D4593"/>
    <w:rsid w:val="00CE7D57"/>
    <w:rsid w:val="00E26C1B"/>
    <w:rsid w:val="00ED3E17"/>
    <w:rsid w:val="00F9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8A42"/>
  <w15:docId w15:val="{A0E25E57-D7A1-4693-87BE-F25FCEE9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9" w:lineRule="auto"/>
    </w:pPr>
    <w:rPr>
      <w:rFonts w:ascii="Calibri" w:eastAsia="MS Mincho" w:hAnsi="Calibri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spacing w:after="180" w:line="240" w:lineRule="auto"/>
      <w:contextualSpacing/>
    </w:pPr>
    <w:rPr>
      <w:rFonts w:asciiTheme="majorHAnsi" w:eastAsiaTheme="majorEastAsia" w:hAnsiTheme="majorHAnsi" w:cstheme="majorBidi"/>
      <w:b/>
      <w:spacing w:val="5"/>
      <w:kern w:val="2"/>
      <w:sz w:val="4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keepNext/>
      <w:spacing w:after="160"/>
    </w:pPr>
    <w:rPr>
      <w:rFonts w:asciiTheme="majorHAnsi" w:eastAsiaTheme="majorEastAsia" w:hAnsiTheme="majorHAnsi" w:cstheme="majorBidi"/>
      <w:i/>
      <w:iCs/>
      <w:spacing w:val="15"/>
      <w:sz w:val="23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30"/>
      <w:ind w:left="312" w:hanging="170"/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user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paragraph" w:customStyle="1" w:styleId="Instrukcjakrok">
    <w:name w:val="Instrukcja krok"/>
    <w:basedOn w:val="Normalny"/>
    <w:qFormat/>
    <w:rPr>
      <w:sz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1675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Edukacja zdrowotna – wymagania edukacyjne i zasady oceniania – klasa VI</vt:lpstr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Edukacja zdrowotna – wymagania edukacyjne i zasady oceniania – klasa VI</dc:title>
  <dc:subject>Wymagania edukacyjne i zasady oceniania z obowiązkowej edukacji zdrowotnej</dc:subject>
  <dc:creator>zdrowalekcja.pl</dc:creator>
  <cp:keywords>edukacja zdrowotna wymagania edukacyjne zasady oceniania szkoła podstawowa</cp:keywords>
  <dc:description>Stan prawny na 23 lipca 2026 r.</dc:description>
  <cp:lastModifiedBy>Ewa Antończak</cp:lastModifiedBy>
  <cp:revision>12</cp:revision>
  <dcterms:created xsi:type="dcterms:W3CDTF">2013-12-23T23:15:00Z</dcterms:created>
  <dcterms:modified xsi:type="dcterms:W3CDTF">2026-08-31T13:00:00Z</dcterms:modified>
  <dc:language>pl-PL</dc:language>
</cp:coreProperties>
</file>